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826C3" w:rsidRDefault="00A26760">
      <w:pPr>
        <w:shd w:val="clear" w:color="auto" w:fill="FFFFFF"/>
        <w:spacing w:before="180" w:after="180"/>
        <w:rPr>
          <w:color w:val="2D3B45"/>
          <w:sz w:val="24"/>
          <w:szCs w:val="24"/>
        </w:rPr>
      </w:pPr>
      <w:r>
        <w:rPr>
          <w:color w:val="2D3B45"/>
          <w:sz w:val="24"/>
          <w:szCs w:val="24"/>
        </w:rPr>
        <w:t>The Stranger, George Simmel</w:t>
      </w:r>
    </w:p>
    <w:p w14:paraId="00000002" w14:textId="77777777" w:rsidR="00E826C3" w:rsidRDefault="00A26760">
      <w:pPr>
        <w:shd w:val="clear" w:color="auto" w:fill="FFFFFF"/>
        <w:spacing w:before="180" w:after="180"/>
        <w:rPr>
          <w:color w:val="2D3B45"/>
          <w:sz w:val="24"/>
          <w:szCs w:val="24"/>
        </w:rPr>
      </w:pPr>
      <w:r>
        <w:rPr>
          <w:color w:val="2D3B45"/>
          <w:sz w:val="24"/>
          <w:szCs w:val="24"/>
        </w:rPr>
        <w:t xml:space="preserve"> </w:t>
      </w:r>
    </w:p>
    <w:p w14:paraId="00000003" w14:textId="77777777" w:rsidR="00E826C3" w:rsidRDefault="00A26760">
      <w:pPr>
        <w:numPr>
          <w:ilvl w:val="0"/>
          <w:numId w:val="1"/>
        </w:numPr>
        <w:shd w:val="clear" w:color="auto" w:fill="FFFFFF"/>
        <w:ind w:left="1100"/>
      </w:pPr>
      <w:r>
        <w:rPr>
          <w:color w:val="2D3B45"/>
          <w:sz w:val="24"/>
          <w:szCs w:val="24"/>
        </w:rPr>
        <w:t>Summary</w:t>
      </w:r>
    </w:p>
    <w:p w14:paraId="00000004" w14:textId="77777777" w:rsidR="00E826C3" w:rsidRDefault="00A26760">
      <w:pPr>
        <w:shd w:val="clear" w:color="auto" w:fill="FFFFFF"/>
        <w:spacing w:before="180" w:after="180"/>
        <w:rPr>
          <w:color w:val="2D3B45"/>
          <w:sz w:val="24"/>
          <w:szCs w:val="24"/>
        </w:rPr>
      </w:pPr>
      <w:r>
        <w:rPr>
          <w:color w:val="2D3B45"/>
          <w:sz w:val="24"/>
          <w:szCs w:val="24"/>
        </w:rPr>
        <w:t>Georg Simmel’s The Stranger describes the sociological concept of “the stranger” within a group and the role that the stranger has in a variety of social situations: commerce, established social groups, and even on a micro level, in the way that two lovers</w:t>
      </w:r>
      <w:r>
        <w:rPr>
          <w:color w:val="2D3B45"/>
          <w:sz w:val="24"/>
          <w:szCs w:val="24"/>
        </w:rPr>
        <w:t xml:space="preserve"> participate in stranger-like interactions and perspectives. The stranger is described as a potential wanderer, or not one who comes today and leaves tomorrow, but rather one who comes today and stays tomorrow. With this Simmel clarifies that the kind of s</w:t>
      </w:r>
      <w:r>
        <w:rPr>
          <w:color w:val="2D3B45"/>
          <w:sz w:val="24"/>
          <w:szCs w:val="24"/>
        </w:rPr>
        <w:t>tranger he is describing is not simply any unknown person but a stranger who has some form of presence within a social group or setting.</w:t>
      </w:r>
    </w:p>
    <w:p w14:paraId="00000005" w14:textId="77777777" w:rsidR="00E826C3" w:rsidRDefault="00A26760">
      <w:pPr>
        <w:shd w:val="clear" w:color="auto" w:fill="FFFFFF"/>
        <w:spacing w:before="180" w:after="180"/>
        <w:rPr>
          <w:color w:val="2D3B45"/>
          <w:sz w:val="24"/>
          <w:szCs w:val="24"/>
        </w:rPr>
      </w:pPr>
      <w:r>
        <w:rPr>
          <w:color w:val="2D3B45"/>
          <w:sz w:val="24"/>
          <w:szCs w:val="24"/>
        </w:rPr>
        <w:t xml:space="preserve"> </w:t>
      </w:r>
    </w:p>
    <w:p w14:paraId="00000006" w14:textId="77777777" w:rsidR="00E826C3" w:rsidRDefault="00A26760">
      <w:pPr>
        <w:numPr>
          <w:ilvl w:val="0"/>
          <w:numId w:val="2"/>
        </w:numPr>
        <w:shd w:val="clear" w:color="auto" w:fill="FFFFFF"/>
        <w:ind w:left="1100"/>
      </w:pPr>
      <w:r>
        <w:rPr>
          <w:color w:val="2D3B45"/>
          <w:sz w:val="24"/>
          <w:szCs w:val="24"/>
        </w:rPr>
        <w:t>Concepts</w:t>
      </w:r>
    </w:p>
    <w:p w14:paraId="00000007" w14:textId="77777777" w:rsidR="00E826C3" w:rsidRDefault="00A26760">
      <w:pPr>
        <w:shd w:val="clear" w:color="auto" w:fill="FFFFFF"/>
        <w:spacing w:before="180" w:after="180"/>
        <w:rPr>
          <w:color w:val="2D3B45"/>
          <w:sz w:val="24"/>
          <w:szCs w:val="24"/>
        </w:rPr>
      </w:pPr>
      <w:r>
        <w:rPr>
          <w:color w:val="2D3B45"/>
          <w:sz w:val="24"/>
          <w:szCs w:val="24"/>
        </w:rPr>
        <w:t>Spatial relations</w:t>
      </w:r>
    </w:p>
    <w:p w14:paraId="00000008" w14:textId="77777777" w:rsidR="00E826C3" w:rsidRDefault="00A26760">
      <w:pPr>
        <w:shd w:val="clear" w:color="auto" w:fill="FFFFFF"/>
        <w:spacing w:before="180" w:after="180"/>
        <w:rPr>
          <w:color w:val="2D3B45"/>
          <w:sz w:val="24"/>
          <w:szCs w:val="24"/>
        </w:rPr>
      </w:pPr>
      <w:r>
        <w:rPr>
          <w:color w:val="2D3B45"/>
          <w:sz w:val="24"/>
          <w:szCs w:val="24"/>
        </w:rPr>
        <w:t>(a) In introducing his thoughts on the stranger, Simmel spends some time explaining that s</w:t>
      </w:r>
      <w:r>
        <w:rPr>
          <w:color w:val="2D3B45"/>
          <w:sz w:val="24"/>
          <w:szCs w:val="24"/>
        </w:rPr>
        <w:t>patial relations are “only the condition, on one hand, and the symbol, on the other, of human relations”. By this, he means that any kind of human interaction is molded by, but also forms, the kind of space in which the relation takes place, as well as the</w:t>
      </w:r>
      <w:r>
        <w:rPr>
          <w:color w:val="2D3B45"/>
          <w:sz w:val="24"/>
          <w:szCs w:val="24"/>
        </w:rPr>
        <w:t xml:space="preserve"> spatial relations between the individuals. For example, when a person comes into a doctor’s office for a checkup, they don’t act as they would if they were coming home to a significant other or entering a house party of old friends, either of which would </w:t>
      </w:r>
      <w:r>
        <w:rPr>
          <w:color w:val="2D3B45"/>
          <w:sz w:val="24"/>
          <w:szCs w:val="24"/>
        </w:rPr>
        <w:t xml:space="preserve">present a closer spatial relationship and naturally symbolize a different mode of human relation. They will likely be polite and formal, as is expected by the somewhat distant spatial relationship between patient and </w:t>
      </w:r>
      <w:proofErr w:type="gramStart"/>
      <w:r>
        <w:rPr>
          <w:color w:val="2D3B45"/>
          <w:sz w:val="24"/>
          <w:szCs w:val="24"/>
        </w:rPr>
        <w:t>doctor, and</w:t>
      </w:r>
      <w:proofErr w:type="gramEnd"/>
      <w:r>
        <w:rPr>
          <w:color w:val="2D3B45"/>
          <w:sz w:val="24"/>
          <w:szCs w:val="24"/>
        </w:rPr>
        <w:t xml:space="preserve"> act more as if a stranger w</w:t>
      </w:r>
      <w:r>
        <w:rPr>
          <w:color w:val="2D3B45"/>
          <w:sz w:val="24"/>
          <w:szCs w:val="24"/>
        </w:rPr>
        <w:t>ould. On the contrary, this kind of behavior confirms the situational atmosphere of a doctor’s visit. Every social interaction is dependent on the proportion of distance/closeness between the individuals involved.</w:t>
      </w:r>
    </w:p>
    <w:p w14:paraId="00000009" w14:textId="77777777" w:rsidR="00E826C3" w:rsidRDefault="00A26760">
      <w:pPr>
        <w:shd w:val="clear" w:color="auto" w:fill="FFFFFF"/>
        <w:spacing w:before="180" w:after="180"/>
        <w:rPr>
          <w:color w:val="2D3B45"/>
          <w:sz w:val="24"/>
          <w:szCs w:val="24"/>
        </w:rPr>
      </w:pPr>
      <w:r>
        <w:rPr>
          <w:color w:val="2D3B45"/>
          <w:sz w:val="24"/>
          <w:szCs w:val="24"/>
        </w:rPr>
        <w:t>(b) Simmel’s use of the term “spatial rela</w:t>
      </w:r>
      <w:r>
        <w:rPr>
          <w:color w:val="2D3B45"/>
          <w:sz w:val="24"/>
          <w:szCs w:val="24"/>
        </w:rPr>
        <w:t>tionship” is not drastically different from everyday use of the word, considering it is generally used in sociological contexts.</w:t>
      </w:r>
    </w:p>
    <w:p w14:paraId="0000000A" w14:textId="77777777" w:rsidR="00E826C3" w:rsidRDefault="00A26760">
      <w:pPr>
        <w:shd w:val="clear" w:color="auto" w:fill="FFFFFF"/>
        <w:spacing w:before="180" w:after="180"/>
        <w:rPr>
          <w:color w:val="2D3B45"/>
          <w:sz w:val="24"/>
          <w:szCs w:val="24"/>
        </w:rPr>
      </w:pPr>
      <w:r>
        <w:rPr>
          <w:color w:val="2D3B45"/>
          <w:sz w:val="24"/>
          <w:szCs w:val="24"/>
        </w:rPr>
        <w:t>(c) The entire identity of the stranger relies on spatial relations. Simmel describes the stranger mainly in their spatial rela</w:t>
      </w:r>
      <w:r>
        <w:rPr>
          <w:color w:val="2D3B45"/>
          <w:sz w:val="24"/>
          <w:szCs w:val="24"/>
        </w:rPr>
        <w:t>tion to the rest of the group members; their position as the stranger is both a result of and enforces their nearness to the group in proximity, but distance in meaningful organic relation to the members of the group.</w:t>
      </w:r>
    </w:p>
    <w:p w14:paraId="0000000B" w14:textId="77777777" w:rsidR="00E826C3" w:rsidRDefault="00A26760">
      <w:pPr>
        <w:shd w:val="clear" w:color="auto" w:fill="FFFFFF"/>
        <w:spacing w:before="180" w:after="180"/>
        <w:rPr>
          <w:color w:val="2D3B45"/>
          <w:sz w:val="24"/>
          <w:szCs w:val="24"/>
        </w:rPr>
      </w:pPr>
      <w:r>
        <w:rPr>
          <w:color w:val="2D3B45"/>
          <w:sz w:val="24"/>
          <w:szCs w:val="24"/>
        </w:rPr>
        <w:t>Objectivity</w:t>
      </w:r>
    </w:p>
    <w:p w14:paraId="0000000C" w14:textId="77777777" w:rsidR="00E826C3" w:rsidRDefault="00A26760">
      <w:pPr>
        <w:shd w:val="clear" w:color="auto" w:fill="FFFFFF"/>
        <w:spacing w:before="180" w:after="180"/>
        <w:rPr>
          <w:color w:val="2D3B45"/>
          <w:sz w:val="24"/>
          <w:szCs w:val="24"/>
        </w:rPr>
      </w:pPr>
      <w:r>
        <w:rPr>
          <w:color w:val="2D3B45"/>
          <w:sz w:val="24"/>
          <w:szCs w:val="24"/>
        </w:rPr>
        <w:lastRenderedPageBreak/>
        <w:t xml:space="preserve">(a) An important trait of </w:t>
      </w:r>
      <w:r>
        <w:rPr>
          <w:color w:val="2D3B45"/>
          <w:sz w:val="24"/>
          <w:szCs w:val="24"/>
        </w:rPr>
        <w:t>the stranger is their objectivity. Simmel describes objectivity as something beyond passivity and detachment, something with a “particular structure composed of distance and nearness, indifference and involvement”. It is also described as a “positive and s</w:t>
      </w:r>
      <w:r>
        <w:rPr>
          <w:color w:val="2D3B45"/>
          <w:sz w:val="24"/>
          <w:szCs w:val="24"/>
        </w:rPr>
        <w:t xml:space="preserve">pecific” participation which allows for the objective party (in this case, the stranger fills this role) to offer a perspective unclouded by prejudice that may be brought on by commitments that other group members may have. An objective person has freedom </w:t>
      </w:r>
      <w:r>
        <w:rPr>
          <w:color w:val="2D3B45"/>
          <w:sz w:val="24"/>
          <w:szCs w:val="24"/>
        </w:rPr>
        <w:t>to consider a situation without worry for offending close group members, upholding a position, or straying from perceived views, as the stranger has none of these.</w:t>
      </w:r>
    </w:p>
    <w:p w14:paraId="0000000D" w14:textId="77777777" w:rsidR="00E826C3" w:rsidRDefault="00A26760">
      <w:pPr>
        <w:shd w:val="clear" w:color="auto" w:fill="FFFFFF"/>
        <w:spacing w:before="180" w:after="180"/>
        <w:rPr>
          <w:color w:val="2D3B45"/>
          <w:sz w:val="24"/>
          <w:szCs w:val="24"/>
        </w:rPr>
      </w:pPr>
      <w:r>
        <w:rPr>
          <w:color w:val="2D3B45"/>
          <w:sz w:val="24"/>
          <w:szCs w:val="24"/>
        </w:rPr>
        <w:t xml:space="preserve">(b) Simmel’s use of the word objectivity is not drastically different from everyday </w:t>
      </w:r>
      <w:proofErr w:type="gramStart"/>
      <w:r>
        <w:rPr>
          <w:color w:val="2D3B45"/>
          <w:sz w:val="24"/>
          <w:szCs w:val="24"/>
        </w:rPr>
        <w:t>use,</w:t>
      </w:r>
      <w:proofErr w:type="gramEnd"/>
      <w:r>
        <w:rPr>
          <w:color w:val="2D3B45"/>
          <w:sz w:val="24"/>
          <w:szCs w:val="24"/>
        </w:rPr>
        <w:t xml:space="preserve"> he </w:t>
      </w:r>
      <w:r>
        <w:rPr>
          <w:color w:val="2D3B45"/>
          <w:sz w:val="24"/>
          <w:szCs w:val="24"/>
        </w:rPr>
        <w:t>just applies it with greater detail to the stranger’s behavior and attributes. There is perhaps more focus on being objective and being involved simultaneously while some may view a lack of participation as objectivity.</w:t>
      </w:r>
    </w:p>
    <w:p w14:paraId="0000000E" w14:textId="77777777" w:rsidR="00E826C3" w:rsidRDefault="00A26760">
      <w:pPr>
        <w:shd w:val="clear" w:color="auto" w:fill="FFFFFF"/>
        <w:spacing w:before="180" w:after="180"/>
        <w:rPr>
          <w:color w:val="2D3B45"/>
          <w:sz w:val="24"/>
          <w:szCs w:val="24"/>
        </w:rPr>
      </w:pPr>
      <w:r>
        <w:rPr>
          <w:color w:val="2D3B45"/>
          <w:sz w:val="24"/>
          <w:szCs w:val="24"/>
        </w:rPr>
        <w:t>(c) Objectivity is an essential part</w:t>
      </w:r>
      <w:r>
        <w:rPr>
          <w:color w:val="2D3B45"/>
          <w:sz w:val="24"/>
          <w:szCs w:val="24"/>
        </w:rPr>
        <w:t xml:space="preserve"> of the stranger’s position and the role that they take within the group. Their lack of ties to group members or status within the group allows them to have a perspective removed from any kind of influence and exhibits less prejudice. The stranger knows no</w:t>
      </w:r>
      <w:r>
        <w:rPr>
          <w:color w:val="2D3B45"/>
          <w:sz w:val="24"/>
          <w:szCs w:val="24"/>
        </w:rPr>
        <w:t>t of any individual disagreements or differences and can have a clear-minded view that other group members may not have the removal to have.</w:t>
      </w:r>
    </w:p>
    <w:p w14:paraId="0000000F" w14:textId="77777777" w:rsidR="00E826C3" w:rsidRDefault="00A26760">
      <w:pPr>
        <w:shd w:val="clear" w:color="auto" w:fill="FFFFFF"/>
        <w:spacing w:before="180" w:after="180"/>
        <w:rPr>
          <w:color w:val="2D3B45"/>
          <w:sz w:val="24"/>
          <w:szCs w:val="24"/>
        </w:rPr>
      </w:pPr>
      <w:r>
        <w:rPr>
          <w:color w:val="2D3B45"/>
          <w:sz w:val="24"/>
          <w:szCs w:val="24"/>
        </w:rPr>
        <w:t>Mobility</w:t>
      </w:r>
    </w:p>
    <w:p w14:paraId="00000010" w14:textId="77777777" w:rsidR="00E826C3" w:rsidRDefault="00A26760">
      <w:pPr>
        <w:shd w:val="clear" w:color="auto" w:fill="FFFFFF"/>
        <w:spacing w:before="180" w:after="180"/>
        <w:rPr>
          <w:color w:val="2D3B45"/>
          <w:sz w:val="24"/>
          <w:szCs w:val="24"/>
        </w:rPr>
      </w:pPr>
      <w:r>
        <w:rPr>
          <w:color w:val="2D3B45"/>
          <w:sz w:val="24"/>
          <w:szCs w:val="24"/>
        </w:rPr>
        <w:t>(a) Mobility is another important attribute for the stranger to have. Simmel refers to this throughout the</w:t>
      </w:r>
      <w:r>
        <w:rPr>
          <w:color w:val="2D3B45"/>
          <w:sz w:val="24"/>
          <w:szCs w:val="24"/>
        </w:rPr>
        <w:t xml:space="preserve"> essay, as the stranger is the “potential wanderer” who “has not quite overcome the freedom of coming and going”. This is not to say that the stranger must wander, but the stranger’s lack of organic ties to the group allows for a degree of freedom and lack</w:t>
      </w:r>
      <w:r>
        <w:rPr>
          <w:color w:val="2D3B45"/>
          <w:sz w:val="24"/>
          <w:szCs w:val="24"/>
        </w:rPr>
        <w:t xml:space="preserve"> of commitment that permits them to wander and, if they were to wander, it would not impact the group in a meaningful way. By nature, the stranger is “no owner of soil”, which is not necessarily referring to property ownership but rather to say that their </w:t>
      </w:r>
      <w:r>
        <w:rPr>
          <w:color w:val="2D3B45"/>
          <w:sz w:val="24"/>
          <w:szCs w:val="24"/>
        </w:rPr>
        <w:t>position in the group is not permanent or fixed. The “fundamentally mobile person” is known, acknowledged, and “comes in contact … with every individual, but is not organically connected … with any single one”.</w:t>
      </w:r>
    </w:p>
    <w:p w14:paraId="00000011" w14:textId="77777777" w:rsidR="00E826C3" w:rsidRDefault="00A26760">
      <w:pPr>
        <w:shd w:val="clear" w:color="auto" w:fill="FFFFFF"/>
        <w:spacing w:before="180" w:after="180"/>
        <w:rPr>
          <w:color w:val="2D3B45"/>
          <w:sz w:val="24"/>
          <w:szCs w:val="24"/>
        </w:rPr>
      </w:pPr>
      <w:r>
        <w:rPr>
          <w:color w:val="2D3B45"/>
          <w:sz w:val="24"/>
          <w:szCs w:val="24"/>
        </w:rPr>
        <w:t>(b) Mobility can be used in a variety of cont</w:t>
      </w:r>
      <w:r>
        <w:rPr>
          <w:color w:val="2D3B45"/>
          <w:sz w:val="24"/>
          <w:szCs w:val="24"/>
        </w:rPr>
        <w:t>exts both in sociological contexts and everyday use. In sociology, mobility can refer to the ability to escape the confines of one’s social class or standing. In everyday use, mobility can have a definition like Simmel’s and define the ability to move arou</w:t>
      </w:r>
      <w:r>
        <w:rPr>
          <w:color w:val="2D3B45"/>
          <w:sz w:val="24"/>
          <w:szCs w:val="24"/>
        </w:rPr>
        <w:t xml:space="preserve">nd or wander freely. Simmel’s usage is only slightly more nuanced in the potential and abstract quality of the stranger’s mobility. The stranger may never mobilize and leave the group, yet they still possess that mobility. The stranger’s physical mobility </w:t>
      </w:r>
      <w:r>
        <w:rPr>
          <w:color w:val="2D3B45"/>
          <w:sz w:val="24"/>
          <w:szCs w:val="24"/>
        </w:rPr>
        <w:t xml:space="preserve">is also considered in less regard than the mobility of their </w:t>
      </w:r>
      <w:r>
        <w:rPr>
          <w:i/>
          <w:color w:val="2D3B45"/>
          <w:sz w:val="24"/>
          <w:szCs w:val="24"/>
        </w:rPr>
        <w:t xml:space="preserve">position </w:t>
      </w:r>
      <w:r>
        <w:rPr>
          <w:color w:val="2D3B45"/>
          <w:sz w:val="24"/>
          <w:szCs w:val="24"/>
        </w:rPr>
        <w:t>in the group.</w:t>
      </w:r>
    </w:p>
    <w:p w14:paraId="00000012" w14:textId="77777777" w:rsidR="00E826C3" w:rsidRDefault="00A26760">
      <w:pPr>
        <w:shd w:val="clear" w:color="auto" w:fill="FFFFFF"/>
        <w:spacing w:before="180" w:after="180"/>
        <w:rPr>
          <w:color w:val="2D3B45"/>
          <w:sz w:val="24"/>
          <w:szCs w:val="24"/>
        </w:rPr>
      </w:pPr>
      <w:r>
        <w:rPr>
          <w:color w:val="2D3B45"/>
          <w:sz w:val="24"/>
          <w:szCs w:val="24"/>
        </w:rPr>
        <w:lastRenderedPageBreak/>
        <w:t xml:space="preserve">(c) Mobility both defines and is defined by the stranger’s position. Because the position that strangers fill is often less drastically significant than other roles, their </w:t>
      </w:r>
      <w:r>
        <w:rPr>
          <w:color w:val="2D3B45"/>
          <w:sz w:val="24"/>
          <w:szCs w:val="24"/>
        </w:rPr>
        <w:t>specific presence is not entirely necessary in order for the group to function.</w:t>
      </w:r>
    </w:p>
    <w:p w14:paraId="00000013" w14:textId="77777777" w:rsidR="00E826C3" w:rsidRDefault="00A26760">
      <w:pPr>
        <w:shd w:val="clear" w:color="auto" w:fill="FFFFFF"/>
        <w:spacing w:before="180" w:after="180"/>
        <w:rPr>
          <w:color w:val="2D3B45"/>
          <w:sz w:val="24"/>
          <w:szCs w:val="24"/>
        </w:rPr>
      </w:pPr>
      <w:r>
        <w:rPr>
          <w:color w:val="2D3B45"/>
          <w:sz w:val="24"/>
          <w:szCs w:val="24"/>
        </w:rPr>
        <w:t xml:space="preserve"> </w:t>
      </w:r>
    </w:p>
    <w:p w14:paraId="00000014" w14:textId="77777777" w:rsidR="00E826C3" w:rsidRDefault="00A26760">
      <w:pPr>
        <w:numPr>
          <w:ilvl w:val="0"/>
          <w:numId w:val="3"/>
        </w:numPr>
        <w:shd w:val="clear" w:color="auto" w:fill="FFFFFF"/>
        <w:ind w:left="1100"/>
      </w:pPr>
      <w:r>
        <w:rPr>
          <w:color w:val="2D3B45"/>
          <w:sz w:val="24"/>
          <w:szCs w:val="24"/>
        </w:rPr>
        <w:t>Theoretical Statements</w:t>
      </w:r>
    </w:p>
    <w:p w14:paraId="00000015" w14:textId="77777777" w:rsidR="00E826C3" w:rsidRDefault="00A26760">
      <w:pPr>
        <w:shd w:val="clear" w:color="auto" w:fill="FFFFFF"/>
        <w:spacing w:before="180" w:after="180"/>
        <w:rPr>
          <w:color w:val="2D3B45"/>
          <w:sz w:val="24"/>
          <w:szCs w:val="24"/>
        </w:rPr>
      </w:pPr>
      <w:r>
        <w:rPr>
          <w:color w:val="2D3B45"/>
          <w:sz w:val="24"/>
          <w:szCs w:val="24"/>
        </w:rPr>
        <w:t>(</w:t>
      </w:r>
      <w:r>
        <w:rPr>
          <w:i/>
          <w:color w:val="2D3B45"/>
          <w:sz w:val="24"/>
          <w:szCs w:val="24"/>
        </w:rPr>
        <w:t xml:space="preserve">a) </w:t>
      </w:r>
      <w:r>
        <w:rPr>
          <w:color w:val="2D3B45"/>
          <w:sz w:val="24"/>
          <w:szCs w:val="24"/>
        </w:rPr>
        <w:t>Simmel’s observations on the qualities and attributes of the stranger coalesce into a refined theory, creating an archetype able to be identified a</w:t>
      </w:r>
      <w:r>
        <w:rPr>
          <w:color w:val="2D3B45"/>
          <w:sz w:val="24"/>
          <w:szCs w:val="24"/>
        </w:rPr>
        <w:t>nd observed in a variety of settings. He defines the stranger using a spread of concepts, such as spatial relations, objectivity, and mobility. The stranger is the “the person who comes today and stays tomorrow” whose position within the group “involves bo</w:t>
      </w:r>
      <w:r>
        <w:rPr>
          <w:color w:val="2D3B45"/>
          <w:sz w:val="24"/>
          <w:szCs w:val="24"/>
        </w:rPr>
        <w:t>th being outside it and confronting it”, meaning that the stranger is not homogenized within the group. Nevertheless, they have a place in the group, but are not socially immersed in the group. As people will full mobility, they are able to come and go, an</w:t>
      </w:r>
      <w:r>
        <w:rPr>
          <w:color w:val="2D3B45"/>
          <w:sz w:val="24"/>
          <w:szCs w:val="24"/>
        </w:rPr>
        <w:t>d therefore encompass the essential traits of nearness and distance. Mobility allows strangers to “come in contact … with every individual” but they are not “organically connected, through established ties of kinship, locality, and occupation” to anyone. T</w:t>
      </w:r>
      <w:r>
        <w:rPr>
          <w:color w:val="2D3B45"/>
          <w:sz w:val="24"/>
          <w:szCs w:val="24"/>
        </w:rPr>
        <w:t>his social category does not apply to any unknown person: “the inhabitants of Sirius are not really strangers to us, at least not in any social logically relevant sense: they do not exist for us at all”. This is to say that in his analysis, his thoughts ar</w:t>
      </w:r>
      <w:r>
        <w:rPr>
          <w:color w:val="2D3B45"/>
          <w:sz w:val="24"/>
          <w:szCs w:val="24"/>
        </w:rPr>
        <w:t xml:space="preserve">e applicable only to those who are strangers within a social realm and can be specifically identified. People who are completely outside of the social group are irrelevant to the social order and patterns of the group and therefore exhibit no identifiable </w:t>
      </w:r>
      <w:r>
        <w:rPr>
          <w:color w:val="2D3B45"/>
          <w:sz w:val="24"/>
          <w:szCs w:val="24"/>
        </w:rPr>
        <w:t>traits which can be analyzed. This theory and character type can be applied to new classmates, antisocial coworkers, traders, and has even been considered through a feminist lens to apply to the traditional role of “wife” in the family (Nortje-Meyer, 2019)</w:t>
      </w:r>
      <w:r>
        <w:rPr>
          <w:color w:val="2D3B45"/>
          <w:sz w:val="24"/>
          <w:szCs w:val="24"/>
        </w:rPr>
        <w:t>.</w:t>
      </w:r>
    </w:p>
    <w:p w14:paraId="00000016" w14:textId="77777777" w:rsidR="00E826C3" w:rsidRDefault="00A26760">
      <w:pPr>
        <w:shd w:val="clear" w:color="auto" w:fill="FFFFFF"/>
        <w:spacing w:before="180" w:after="180"/>
        <w:rPr>
          <w:color w:val="2D3B45"/>
          <w:sz w:val="24"/>
          <w:szCs w:val="24"/>
        </w:rPr>
      </w:pPr>
      <w:r>
        <w:rPr>
          <w:color w:val="2D3B45"/>
          <w:sz w:val="24"/>
          <w:szCs w:val="24"/>
        </w:rPr>
        <w:t>(</w:t>
      </w:r>
      <w:r>
        <w:rPr>
          <w:i/>
          <w:color w:val="2D3B45"/>
          <w:sz w:val="24"/>
          <w:szCs w:val="24"/>
        </w:rPr>
        <w:t xml:space="preserve">b) </w:t>
      </w:r>
      <w:r>
        <w:rPr>
          <w:color w:val="2D3B45"/>
          <w:sz w:val="24"/>
          <w:szCs w:val="24"/>
        </w:rPr>
        <w:t xml:space="preserve">Duality is a recurring theme in Simmel’s work as a sociologist and is certainly an important characteristic described throughout </w:t>
      </w:r>
      <w:r>
        <w:rPr>
          <w:i/>
          <w:color w:val="2D3B45"/>
          <w:sz w:val="24"/>
          <w:szCs w:val="24"/>
        </w:rPr>
        <w:t xml:space="preserve">The Stranger. </w:t>
      </w:r>
      <w:r>
        <w:rPr>
          <w:color w:val="2D3B45"/>
          <w:sz w:val="24"/>
          <w:szCs w:val="24"/>
        </w:rPr>
        <w:t xml:space="preserve">Crafting the figure that is the stranger is impossible without giving them the qualities of both distance and </w:t>
      </w:r>
      <w:proofErr w:type="gramStart"/>
      <w:r>
        <w:rPr>
          <w:color w:val="2D3B45"/>
          <w:sz w:val="24"/>
          <w:szCs w:val="24"/>
        </w:rPr>
        <w:t>nea</w:t>
      </w:r>
      <w:r>
        <w:rPr>
          <w:color w:val="2D3B45"/>
          <w:sz w:val="24"/>
          <w:szCs w:val="24"/>
        </w:rPr>
        <w:t>rness, or</w:t>
      </w:r>
      <w:proofErr w:type="gramEnd"/>
      <w:r>
        <w:rPr>
          <w:color w:val="2D3B45"/>
          <w:sz w:val="24"/>
          <w:szCs w:val="24"/>
        </w:rPr>
        <w:t xml:space="preserve"> being inside the group yet remaining an outsider. Both seem like a paradox, but in the context of Simmel’s other writings on the topic which clarify that duality is not necessarily an either/or quality but rather a give/take scenario, it makes pe</w:t>
      </w:r>
      <w:r>
        <w:rPr>
          <w:color w:val="2D3B45"/>
          <w:sz w:val="24"/>
          <w:szCs w:val="24"/>
        </w:rPr>
        <w:t>rfect sense. Simmel argued that it is impossible to fully understand a part of a society without understanding its contrasting equivalent. In order for the stranger to exist, it is required that they are a part of the group in some ways, but in most ways r</w:t>
      </w:r>
      <w:r>
        <w:rPr>
          <w:color w:val="2D3B45"/>
          <w:sz w:val="24"/>
          <w:szCs w:val="24"/>
        </w:rPr>
        <w:t>emain outside of the group. His comment on the inhabitants of Sirius supports the importance of this dualism, as those totally removed from the group exhibit no dualism but instead reside at the ultimate “distant” point on the near/distant spectrum. Dualit</w:t>
      </w:r>
      <w:r>
        <w:rPr>
          <w:color w:val="2D3B45"/>
          <w:sz w:val="24"/>
          <w:szCs w:val="24"/>
        </w:rPr>
        <w:t xml:space="preserve">y has observable presence in many sociological concepts; Simmel namely identified its </w:t>
      </w:r>
      <w:r>
        <w:rPr>
          <w:color w:val="2D3B45"/>
          <w:sz w:val="24"/>
          <w:szCs w:val="24"/>
        </w:rPr>
        <w:lastRenderedPageBreak/>
        <w:t>applicability in fashion, as adherence to one fashion trend ultimately means drifting from other fashion trends; social groups, as belonging to one social group ultimatel</w:t>
      </w:r>
      <w:r>
        <w:rPr>
          <w:color w:val="2D3B45"/>
          <w:sz w:val="24"/>
          <w:szCs w:val="24"/>
        </w:rPr>
        <w:t xml:space="preserve">y means distancing from other social groups; and exchange, which has a more literal and physical observable duality as virtually any and all forms of exchange involve giving something (money, time, </w:t>
      </w:r>
      <w:proofErr w:type="spellStart"/>
      <w:r>
        <w:rPr>
          <w:color w:val="2D3B45"/>
          <w:sz w:val="24"/>
          <w:szCs w:val="24"/>
        </w:rPr>
        <w:t>etc</w:t>
      </w:r>
      <w:proofErr w:type="spellEnd"/>
      <w:r>
        <w:rPr>
          <w:color w:val="2D3B45"/>
          <w:sz w:val="24"/>
          <w:szCs w:val="24"/>
        </w:rPr>
        <w:t xml:space="preserve">) in return for something (goods, services, </w:t>
      </w:r>
      <w:proofErr w:type="spellStart"/>
      <w:r>
        <w:rPr>
          <w:color w:val="2D3B45"/>
          <w:sz w:val="24"/>
          <w:szCs w:val="24"/>
        </w:rPr>
        <w:t>etc</w:t>
      </w:r>
      <w:proofErr w:type="spellEnd"/>
      <w:r>
        <w:rPr>
          <w:color w:val="2D3B45"/>
          <w:sz w:val="24"/>
          <w:szCs w:val="24"/>
        </w:rPr>
        <w:t>).</w:t>
      </w:r>
    </w:p>
    <w:p w14:paraId="00000017" w14:textId="77777777" w:rsidR="00E826C3" w:rsidRDefault="00A26760">
      <w:pPr>
        <w:shd w:val="clear" w:color="auto" w:fill="FFFFFF"/>
        <w:spacing w:before="180" w:after="180"/>
        <w:rPr>
          <w:color w:val="2D3B45"/>
          <w:sz w:val="24"/>
          <w:szCs w:val="24"/>
        </w:rPr>
      </w:pPr>
      <w:r>
        <w:rPr>
          <w:color w:val="2D3B45"/>
          <w:sz w:val="24"/>
          <w:szCs w:val="24"/>
        </w:rPr>
        <w:t xml:space="preserve"> </w:t>
      </w:r>
    </w:p>
    <w:p w14:paraId="00000018" w14:textId="77777777" w:rsidR="00E826C3" w:rsidRDefault="00A26760">
      <w:pPr>
        <w:shd w:val="clear" w:color="auto" w:fill="FFFFFF"/>
        <w:spacing w:before="180" w:after="180"/>
        <w:rPr>
          <w:color w:val="2D3B45"/>
          <w:sz w:val="24"/>
          <w:szCs w:val="24"/>
        </w:rPr>
      </w:pPr>
      <w:r>
        <w:rPr>
          <w:color w:val="2D3B45"/>
          <w:sz w:val="24"/>
          <w:szCs w:val="24"/>
        </w:rPr>
        <w:t>Wor</w:t>
      </w:r>
      <w:r>
        <w:rPr>
          <w:color w:val="2D3B45"/>
          <w:sz w:val="24"/>
          <w:szCs w:val="24"/>
        </w:rPr>
        <w:t>k Cited</w:t>
      </w:r>
    </w:p>
    <w:p w14:paraId="00000019" w14:textId="77777777" w:rsidR="00E826C3" w:rsidRDefault="00A26760">
      <w:pPr>
        <w:shd w:val="clear" w:color="auto" w:fill="FFFFFF"/>
        <w:spacing w:before="180"/>
        <w:rPr>
          <w:color w:val="2D3B45"/>
          <w:sz w:val="24"/>
          <w:szCs w:val="24"/>
        </w:rPr>
      </w:pPr>
      <w:proofErr w:type="spellStart"/>
      <w:r>
        <w:rPr>
          <w:color w:val="2D3B45"/>
          <w:sz w:val="24"/>
          <w:szCs w:val="24"/>
        </w:rPr>
        <w:t>Nortjé</w:t>
      </w:r>
      <w:proofErr w:type="spellEnd"/>
      <w:r>
        <w:rPr>
          <w:color w:val="2D3B45"/>
          <w:sz w:val="24"/>
          <w:szCs w:val="24"/>
        </w:rPr>
        <w:t xml:space="preserve">-Meyer, S. J. (2019). The wife as stranger in the family. </w:t>
      </w:r>
      <w:r>
        <w:rPr>
          <w:i/>
          <w:color w:val="2D3B45"/>
          <w:sz w:val="24"/>
          <w:szCs w:val="24"/>
        </w:rPr>
        <w:t xml:space="preserve">HTS </w:t>
      </w:r>
      <w:proofErr w:type="spellStart"/>
      <w:r>
        <w:rPr>
          <w:i/>
          <w:color w:val="2D3B45"/>
          <w:sz w:val="24"/>
          <w:szCs w:val="24"/>
        </w:rPr>
        <w:t>Teologiese</w:t>
      </w:r>
      <w:proofErr w:type="spellEnd"/>
      <w:r>
        <w:rPr>
          <w:i/>
          <w:color w:val="2D3B45"/>
          <w:sz w:val="24"/>
          <w:szCs w:val="24"/>
        </w:rPr>
        <w:t xml:space="preserve"> Studies / Theological Studies</w:t>
      </w:r>
      <w:r>
        <w:rPr>
          <w:color w:val="2D3B45"/>
          <w:sz w:val="24"/>
          <w:szCs w:val="24"/>
        </w:rPr>
        <w:t xml:space="preserve">, </w:t>
      </w:r>
      <w:r>
        <w:rPr>
          <w:i/>
          <w:color w:val="2D3B45"/>
          <w:sz w:val="24"/>
          <w:szCs w:val="24"/>
        </w:rPr>
        <w:t>75</w:t>
      </w:r>
      <w:r>
        <w:rPr>
          <w:color w:val="2D3B45"/>
          <w:sz w:val="24"/>
          <w:szCs w:val="24"/>
        </w:rPr>
        <w:t xml:space="preserve">(3). </w:t>
      </w:r>
      <w:proofErr w:type="spellStart"/>
      <w:r>
        <w:rPr>
          <w:color w:val="2D3B45"/>
          <w:sz w:val="24"/>
          <w:szCs w:val="24"/>
        </w:rPr>
        <w:t>doi</w:t>
      </w:r>
      <w:proofErr w:type="spellEnd"/>
      <w:r>
        <w:rPr>
          <w:color w:val="2D3B45"/>
          <w:sz w:val="24"/>
          <w:szCs w:val="24"/>
        </w:rPr>
        <w:t>: 10.4102/</w:t>
      </w:r>
      <w:proofErr w:type="gramStart"/>
      <w:r>
        <w:rPr>
          <w:color w:val="2D3B45"/>
          <w:sz w:val="24"/>
          <w:szCs w:val="24"/>
        </w:rPr>
        <w:t>hts.v</w:t>
      </w:r>
      <w:proofErr w:type="gramEnd"/>
      <w:r>
        <w:rPr>
          <w:color w:val="2D3B45"/>
          <w:sz w:val="24"/>
          <w:szCs w:val="24"/>
        </w:rPr>
        <w:t>75i3.5655</w:t>
      </w:r>
    </w:p>
    <w:p w14:paraId="0000001A" w14:textId="77777777" w:rsidR="00E826C3" w:rsidRDefault="00E826C3"/>
    <w:p w14:paraId="0000001B" w14:textId="77777777" w:rsidR="00E826C3" w:rsidRDefault="00E826C3"/>
    <w:p w14:paraId="0000001C" w14:textId="77777777" w:rsidR="00E826C3" w:rsidRDefault="00E826C3">
      <w:pPr>
        <w:rPr>
          <w:rFonts w:ascii="Times New Roman" w:eastAsia="Times New Roman" w:hAnsi="Times New Roman" w:cs="Times New Roman"/>
          <w:sz w:val="36"/>
          <w:szCs w:val="36"/>
          <w:highlight w:val="magenta"/>
        </w:rPr>
      </w:pPr>
    </w:p>
    <w:p w14:paraId="0000001D" w14:textId="77777777" w:rsidR="00E826C3" w:rsidRDefault="00A26760">
      <w:pPr>
        <w:rPr>
          <w:sz w:val="24"/>
          <w:szCs w:val="24"/>
        </w:rPr>
      </w:pPr>
      <w:r>
        <w:rPr>
          <w:rFonts w:ascii="Times New Roman" w:eastAsia="Times New Roman" w:hAnsi="Times New Roman" w:cs="Times New Roman"/>
          <w:sz w:val="36"/>
          <w:szCs w:val="36"/>
        </w:rPr>
        <w:t xml:space="preserve">You are replying to the post above </w:t>
      </w:r>
      <w:proofErr w:type="gramStart"/>
      <w:r>
        <w:rPr>
          <w:rFonts w:ascii="Times New Roman" w:eastAsia="Times New Roman" w:hAnsi="Times New Roman" w:cs="Times New Roman"/>
          <w:sz w:val="36"/>
          <w:szCs w:val="36"/>
        </w:rPr>
        <w:t>….</w:t>
      </w:r>
      <w:r>
        <w:rPr>
          <w:sz w:val="24"/>
          <w:szCs w:val="24"/>
        </w:rPr>
        <w:t>reply</w:t>
      </w:r>
      <w:proofErr w:type="gramEnd"/>
      <w:r>
        <w:rPr>
          <w:sz w:val="24"/>
          <w:szCs w:val="24"/>
        </w:rPr>
        <w:t xml:space="preserve"> post should be approximately 400 words and must include d</w:t>
      </w:r>
      <w:r>
        <w:rPr>
          <w:sz w:val="24"/>
          <w:szCs w:val="24"/>
        </w:rPr>
        <w:t xml:space="preserve">iscussion of an additional article which </w:t>
      </w:r>
      <w:proofErr w:type="spellStart"/>
      <w:r>
        <w:rPr>
          <w:sz w:val="24"/>
          <w:szCs w:val="24"/>
        </w:rPr>
        <w:t>i</w:t>
      </w:r>
      <w:proofErr w:type="spellEnd"/>
      <w:r>
        <w:rPr>
          <w:sz w:val="24"/>
          <w:szCs w:val="24"/>
        </w:rPr>
        <w:t xml:space="preserve"> have provided in the drop files tab .. focus on one or two of the concepts or theories mentioned in the reading summary </w:t>
      </w:r>
      <w:proofErr w:type="spellStart"/>
      <w:proofErr w:type="gramStart"/>
      <w:r>
        <w:rPr>
          <w:sz w:val="24"/>
          <w:szCs w:val="24"/>
        </w:rPr>
        <w:t>i</w:t>
      </w:r>
      <w:proofErr w:type="spellEnd"/>
      <w:r>
        <w:rPr>
          <w:sz w:val="24"/>
          <w:szCs w:val="24"/>
        </w:rPr>
        <w:t xml:space="preserve">  replied</w:t>
      </w:r>
      <w:proofErr w:type="gramEnd"/>
      <w:r>
        <w:rPr>
          <w:sz w:val="24"/>
          <w:szCs w:val="24"/>
        </w:rPr>
        <w:t xml:space="preserve">  to. Focus on the following types of questions in your reply: how does the contemp</w:t>
      </w:r>
      <w:r>
        <w:rPr>
          <w:sz w:val="24"/>
          <w:szCs w:val="24"/>
        </w:rPr>
        <w:t xml:space="preserve">orary article update the original version of the concept or theory? Does the article show the original concept or theory to be more or less relevant to contemporary sociology? Are there technological changes in our postmodern society which make the theory </w:t>
      </w:r>
      <w:r>
        <w:rPr>
          <w:sz w:val="24"/>
          <w:szCs w:val="24"/>
        </w:rPr>
        <w:t xml:space="preserve">or concept more or less relevant? </w:t>
      </w:r>
      <w:proofErr w:type="gramStart"/>
      <w:r>
        <w:rPr>
          <w:sz w:val="24"/>
          <w:szCs w:val="24"/>
        </w:rPr>
        <w:t>You  may</w:t>
      </w:r>
      <w:proofErr w:type="gramEnd"/>
      <w:r>
        <w:rPr>
          <w:sz w:val="24"/>
          <w:szCs w:val="24"/>
        </w:rPr>
        <w:t xml:space="preserve"> also express your opinions about the article and any issues that you see were not covered adequately, or that you might disagree with.</w:t>
      </w:r>
    </w:p>
    <w:p w14:paraId="0000001E" w14:textId="77777777" w:rsidR="00E826C3" w:rsidRDefault="00E826C3">
      <w:pPr>
        <w:rPr>
          <w:sz w:val="24"/>
          <w:szCs w:val="24"/>
        </w:rPr>
      </w:pPr>
    </w:p>
    <w:p w14:paraId="0000001F" w14:textId="77777777" w:rsidR="00E826C3" w:rsidRDefault="00A26760">
      <w:pPr>
        <w:rPr>
          <w:sz w:val="48"/>
          <w:szCs w:val="48"/>
        </w:rPr>
      </w:pPr>
      <w:r>
        <w:rPr>
          <w:sz w:val="48"/>
          <w:szCs w:val="48"/>
        </w:rPr>
        <w:t xml:space="preserve">Article </w:t>
      </w:r>
      <w:proofErr w:type="spellStart"/>
      <w:r>
        <w:rPr>
          <w:sz w:val="48"/>
          <w:szCs w:val="48"/>
        </w:rPr>
        <w:t>i</w:t>
      </w:r>
      <w:proofErr w:type="spellEnd"/>
      <w:r>
        <w:rPr>
          <w:sz w:val="48"/>
          <w:szCs w:val="48"/>
        </w:rPr>
        <w:t xml:space="preserve"> am using is </w:t>
      </w:r>
    </w:p>
    <w:p w14:paraId="00000020" w14:textId="77777777" w:rsidR="00E826C3" w:rsidRDefault="00A26760">
      <w:pPr>
        <w:rPr>
          <w:rFonts w:ascii="Times New Roman" w:eastAsia="Times New Roman" w:hAnsi="Times New Roman" w:cs="Times New Roman"/>
          <w:sz w:val="20"/>
          <w:szCs w:val="20"/>
          <w:shd w:val="clear" w:color="auto" w:fill="F2F2F2"/>
        </w:rPr>
      </w:pPr>
      <w:r>
        <w:rPr>
          <w:rFonts w:ascii="Times New Roman" w:eastAsia="Times New Roman" w:hAnsi="Times New Roman" w:cs="Times New Roman"/>
          <w:sz w:val="20"/>
          <w:szCs w:val="20"/>
          <w:shd w:val="clear" w:color="auto" w:fill="F2F2F2"/>
        </w:rPr>
        <w:t xml:space="preserve">Copy and paste this in your </w:t>
      </w:r>
      <w:proofErr w:type="spellStart"/>
      <w:r>
        <w:rPr>
          <w:rFonts w:ascii="Times New Roman" w:eastAsia="Times New Roman" w:hAnsi="Times New Roman" w:cs="Times New Roman"/>
          <w:sz w:val="20"/>
          <w:szCs w:val="20"/>
          <w:shd w:val="clear" w:color="auto" w:fill="F2F2F2"/>
        </w:rPr>
        <w:t>url</w:t>
      </w:r>
      <w:proofErr w:type="spellEnd"/>
      <w:r>
        <w:rPr>
          <w:rFonts w:ascii="Times New Roman" w:eastAsia="Times New Roman" w:hAnsi="Times New Roman" w:cs="Times New Roman"/>
          <w:sz w:val="20"/>
          <w:szCs w:val="20"/>
          <w:shd w:val="clear" w:color="auto" w:fill="F2F2F2"/>
        </w:rPr>
        <w:t xml:space="preserve"> </w:t>
      </w:r>
    </w:p>
    <w:p w14:paraId="00000021" w14:textId="77777777" w:rsidR="00E826C3" w:rsidRDefault="00A26760">
      <w:pPr>
        <w:rPr>
          <w:rFonts w:ascii="Times New Roman" w:eastAsia="Times New Roman" w:hAnsi="Times New Roman" w:cs="Times New Roman"/>
          <w:sz w:val="20"/>
          <w:szCs w:val="20"/>
          <w:shd w:val="clear" w:color="auto" w:fill="F2F2F2"/>
        </w:rPr>
      </w:pPr>
      <w:proofErr w:type="spellStart"/>
      <w:r>
        <w:rPr>
          <w:rFonts w:ascii="Times New Roman" w:eastAsia="Times New Roman" w:hAnsi="Times New Roman" w:cs="Times New Roman"/>
          <w:sz w:val="20"/>
          <w:szCs w:val="20"/>
          <w:shd w:val="clear" w:color="auto" w:fill="F2F2F2"/>
        </w:rPr>
        <w:t>Artcle</w:t>
      </w:r>
      <w:proofErr w:type="spellEnd"/>
      <w:r>
        <w:rPr>
          <w:rFonts w:ascii="Times New Roman" w:eastAsia="Times New Roman" w:hAnsi="Times New Roman" w:cs="Times New Roman"/>
          <w:sz w:val="20"/>
          <w:szCs w:val="20"/>
          <w:shd w:val="clear" w:color="auto" w:fill="F2F2F2"/>
        </w:rPr>
        <w:t xml:space="preserve"> </w:t>
      </w:r>
    </w:p>
    <w:p w14:paraId="00000022" w14:textId="77777777" w:rsidR="00E826C3" w:rsidRDefault="00A26760">
      <w:pPr>
        <w:rPr>
          <w:sz w:val="48"/>
          <w:szCs w:val="48"/>
        </w:rPr>
      </w:pPr>
      <w:r>
        <w:rPr>
          <w:rFonts w:ascii="Times New Roman" w:eastAsia="Times New Roman" w:hAnsi="Times New Roman" w:cs="Times New Roman"/>
          <w:sz w:val="20"/>
          <w:szCs w:val="20"/>
          <w:shd w:val="clear" w:color="auto" w:fill="F2F2F2"/>
        </w:rPr>
        <w:t>Opinion | Coronavirus as Metaphor - The New York Times</w:t>
      </w:r>
    </w:p>
    <w:p w14:paraId="00000023" w14:textId="77777777" w:rsidR="00E826C3" w:rsidRDefault="00E826C3">
      <w:pPr>
        <w:rPr>
          <w:sz w:val="24"/>
          <w:szCs w:val="24"/>
        </w:rPr>
      </w:pPr>
    </w:p>
    <w:p w14:paraId="00000024" w14:textId="77777777" w:rsidR="00E826C3" w:rsidRDefault="00E826C3">
      <w:pPr>
        <w:rPr>
          <w:rFonts w:ascii="Times New Roman" w:eastAsia="Times New Roman" w:hAnsi="Times New Roman" w:cs="Times New Roman"/>
          <w:sz w:val="36"/>
          <w:szCs w:val="36"/>
        </w:rPr>
      </w:pPr>
    </w:p>
    <w:p w14:paraId="00000025" w14:textId="77777777" w:rsidR="00E826C3" w:rsidRDefault="00E826C3"/>
    <w:p w14:paraId="00000026" w14:textId="77777777" w:rsidR="00E826C3" w:rsidRDefault="00A26760">
      <w:pPr>
        <w:rPr>
          <w:sz w:val="48"/>
          <w:szCs w:val="48"/>
        </w:rPr>
      </w:pPr>
      <w:r>
        <w:rPr>
          <w:sz w:val="48"/>
          <w:szCs w:val="48"/>
        </w:rPr>
        <w:t xml:space="preserve">Below is an </w:t>
      </w:r>
      <w:r>
        <w:rPr>
          <w:color w:val="CC0000"/>
          <w:sz w:val="48"/>
          <w:szCs w:val="48"/>
        </w:rPr>
        <w:t>example</w:t>
      </w:r>
      <w:r>
        <w:rPr>
          <w:sz w:val="48"/>
          <w:szCs w:val="48"/>
        </w:rPr>
        <w:t xml:space="preserve"> of what the paper should look like </w:t>
      </w:r>
    </w:p>
    <w:p w14:paraId="00000027" w14:textId="77777777" w:rsidR="00E826C3" w:rsidRDefault="00E826C3">
      <w:pPr>
        <w:rPr>
          <w:color w:val="2D3B45"/>
          <w:sz w:val="24"/>
          <w:szCs w:val="24"/>
          <w:highlight w:val="white"/>
        </w:rPr>
      </w:pPr>
    </w:p>
    <w:p w14:paraId="00000028" w14:textId="77777777" w:rsidR="00E826C3" w:rsidRDefault="00E826C3">
      <w:pPr>
        <w:rPr>
          <w:color w:val="2D3B45"/>
          <w:sz w:val="24"/>
          <w:szCs w:val="24"/>
          <w:highlight w:val="white"/>
        </w:rPr>
      </w:pPr>
    </w:p>
    <w:p w14:paraId="00000029" w14:textId="77777777" w:rsidR="00E826C3" w:rsidRDefault="00A26760">
      <w:pPr>
        <w:rPr>
          <w:color w:val="2D3B45"/>
          <w:sz w:val="24"/>
          <w:szCs w:val="24"/>
          <w:highlight w:val="white"/>
        </w:rPr>
      </w:pPr>
      <w:r>
        <w:rPr>
          <w:color w:val="2D3B45"/>
          <w:sz w:val="24"/>
          <w:szCs w:val="24"/>
          <w:highlight w:val="white"/>
        </w:rPr>
        <w:lastRenderedPageBreak/>
        <w:t>In response to this post, I will be discussing Simmel's concept of spatial relations as well as how</w:t>
      </w:r>
      <w:r>
        <w:rPr>
          <w:color w:val="2D3B45"/>
          <w:sz w:val="24"/>
          <w:szCs w:val="24"/>
          <w:highlight w:val="white"/>
        </w:rPr>
        <w:t xml:space="preserve"> those relations influence our interactions as a group/population. Simmel understood that physical space and socialization are mutually connected-- our interactions and relationships both influence how we perceive and manage our physical spaces, but our re</w:t>
      </w:r>
      <w:r>
        <w:rPr>
          <w:color w:val="2D3B45"/>
          <w:sz w:val="24"/>
          <w:szCs w:val="24"/>
          <w:highlight w:val="white"/>
        </w:rPr>
        <w:t>lations can also conversely be impacted by the spaces we inhabit as well (somewhat analogous to the question of whether the chicken or the egg came first).</w:t>
      </w:r>
    </w:p>
    <w:p w14:paraId="0000002A" w14:textId="77777777" w:rsidR="00E826C3" w:rsidRDefault="00E826C3"/>
    <w:p w14:paraId="0000002B" w14:textId="77777777" w:rsidR="00E826C3" w:rsidRDefault="00A26760">
      <w:r>
        <w:rPr>
          <w:color w:val="2D3B45"/>
          <w:sz w:val="24"/>
          <w:szCs w:val="24"/>
          <w:highlight w:val="white"/>
        </w:rPr>
        <w:t>Simmel considers the relationship between space and socialization as being symbolic. The physical d</w:t>
      </w:r>
      <w:r>
        <w:rPr>
          <w:color w:val="2D3B45"/>
          <w:sz w:val="24"/>
          <w:szCs w:val="24"/>
          <w:highlight w:val="white"/>
        </w:rPr>
        <w:t xml:space="preserve">istance or closeness between individuals/groups in a space is representative of the social and emotional distance between them. For example, in most stores, employees are physically separated from customers by kiosks, registers, etc. and additionally have </w:t>
      </w:r>
      <w:r>
        <w:rPr>
          <w:color w:val="2D3B45"/>
          <w:sz w:val="24"/>
          <w:szCs w:val="24"/>
          <w:highlight w:val="white"/>
        </w:rPr>
        <w:t xml:space="preserve">access to back rooms of the store which customers do not. This physical separation emphasizes the relationship between the employee and consumer: they are emotionally and intellectually disconnected from </w:t>
      </w:r>
      <w:proofErr w:type="gramStart"/>
      <w:r>
        <w:rPr>
          <w:color w:val="2D3B45"/>
          <w:sz w:val="24"/>
          <w:szCs w:val="24"/>
          <w:highlight w:val="white"/>
        </w:rPr>
        <w:t>each other, and</w:t>
      </w:r>
      <w:proofErr w:type="gramEnd"/>
      <w:r>
        <w:rPr>
          <w:color w:val="2D3B45"/>
          <w:sz w:val="24"/>
          <w:szCs w:val="24"/>
          <w:highlight w:val="white"/>
        </w:rPr>
        <w:t xml:space="preserve"> share an impersonal physical space w</w:t>
      </w:r>
      <w:r>
        <w:rPr>
          <w:color w:val="2D3B45"/>
          <w:sz w:val="24"/>
          <w:szCs w:val="24"/>
          <w:highlight w:val="white"/>
        </w:rPr>
        <w:t>here they are consistently separate, thus reinforcing the employees and customers as distinct groups. Upon questioning how this concept has transformed over the course of recent history, one obvious shift captures my attention: the collective worldwide emp</w:t>
      </w:r>
      <w:r>
        <w:rPr>
          <w:color w:val="2D3B45"/>
          <w:sz w:val="24"/>
          <w:szCs w:val="24"/>
          <w:highlight w:val="white"/>
        </w:rPr>
        <w:t>hasis on social distancing occurring in response to the COVID-19 pandemic. If we derive so much of the information about and structure of our relationships through the context of our shared physical spaces, how will our social abilities be hindered by long</w:t>
      </w:r>
      <w:r>
        <w:rPr>
          <w:color w:val="2D3B45"/>
          <w:sz w:val="24"/>
          <w:szCs w:val="24"/>
          <w:highlight w:val="white"/>
        </w:rPr>
        <w:t xml:space="preserve">-term physical separation and the closure of most public spaces? NYT contributor James Poniewozik has already begun to observe a vague transformation begin to happen. In his article </w:t>
      </w:r>
      <w:proofErr w:type="spellStart"/>
      <w:r>
        <w:rPr>
          <w:i/>
          <w:color w:val="2D3B45"/>
          <w:sz w:val="24"/>
          <w:szCs w:val="24"/>
          <w:highlight w:val="white"/>
        </w:rPr>
        <w:t>Pokemon</w:t>
      </w:r>
      <w:proofErr w:type="spellEnd"/>
      <w:r>
        <w:rPr>
          <w:i/>
          <w:color w:val="2D3B45"/>
          <w:sz w:val="24"/>
          <w:szCs w:val="24"/>
          <w:highlight w:val="white"/>
        </w:rPr>
        <w:t xml:space="preserve">, </w:t>
      </w:r>
      <w:proofErr w:type="gramStart"/>
      <w:r>
        <w:rPr>
          <w:i/>
          <w:color w:val="2D3B45"/>
          <w:sz w:val="24"/>
          <w:szCs w:val="24"/>
          <w:highlight w:val="white"/>
        </w:rPr>
        <w:t>Stay</w:t>
      </w:r>
      <w:proofErr w:type="gramEnd"/>
      <w:r>
        <w:rPr>
          <w:color w:val="2D3B45"/>
          <w:sz w:val="24"/>
          <w:szCs w:val="24"/>
          <w:highlight w:val="white"/>
        </w:rPr>
        <w:t xml:space="preserve"> he observes the contrast between average daily social life p</w:t>
      </w:r>
      <w:r>
        <w:rPr>
          <w:color w:val="2D3B45"/>
          <w:sz w:val="24"/>
          <w:szCs w:val="24"/>
          <w:highlight w:val="white"/>
        </w:rPr>
        <w:t xml:space="preserve">re- and post-pandemic. Poniewozik suggests that in these times, the genuine value of virtual experiences is highlighted where once, virtual entertainment was considered to only be a lacking replacement for real-world activities. However, with such massive </w:t>
      </w:r>
      <w:r>
        <w:rPr>
          <w:color w:val="2D3B45"/>
          <w:sz w:val="24"/>
          <w:szCs w:val="24"/>
          <w:highlight w:val="white"/>
        </w:rPr>
        <w:t>and sudden transformations to the social culture of so many countries, we can observe many social functions that were previously defined by a physical component begin migrating to the virtual spaces available for us, such as social media or online gaming p</w:t>
      </w:r>
      <w:r>
        <w:rPr>
          <w:color w:val="2D3B45"/>
          <w:sz w:val="24"/>
          <w:szCs w:val="24"/>
          <w:highlight w:val="white"/>
        </w:rPr>
        <w:t>latforms. As a result, we can certainly conclude that Simmel's interpretation of spatial relations is still applicable in the modern world, though our current circumstances reinforce the possibility that our virtual spaces may function in a similar way, th</w:t>
      </w:r>
      <w:r>
        <w:rPr>
          <w:color w:val="2D3B45"/>
          <w:sz w:val="24"/>
          <w:szCs w:val="24"/>
          <w:highlight w:val="white"/>
        </w:rPr>
        <w:t>erefore making Simmel's interpretation a useful model for understanding how humans interact in virtual spaces. For example, consider the different implications of speaking to someone in private messages as opposed to in a public forum. The structural limit</w:t>
      </w:r>
      <w:r>
        <w:rPr>
          <w:color w:val="2D3B45"/>
          <w:sz w:val="24"/>
          <w:szCs w:val="24"/>
          <w:highlight w:val="white"/>
        </w:rPr>
        <w:t>s of our communications may increasingly define our relationships when physical interaction is unavailable.</w:t>
      </w:r>
    </w:p>
    <w:sectPr w:rsidR="00E826C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242E7"/>
    <w:multiLevelType w:val="multilevel"/>
    <w:tmpl w:val="B32632FA"/>
    <w:lvl w:ilvl="0">
      <w:start w:val="3"/>
      <w:numFmt w:val="decimal"/>
      <w:lvlText w:val="%1."/>
      <w:lvlJc w:val="left"/>
      <w:pPr>
        <w:ind w:left="720" w:hanging="360"/>
      </w:pPr>
      <w:rPr>
        <w:rFonts w:ascii="Arial" w:eastAsia="Arial" w:hAnsi="Arial" w:cs="Arial"/>
        <w:color w:val="2D3B4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5A55352A"/>
    <w:multiLevelType w:val="multilevel"/>
    <w:tmpl w:val="B5925352"/>
    <w:lvl w:ilvl="0">
      <w:start w:val="1"/>
      <w:numFmt w:val="decimal"/>
      <w:lvlText w:val="%1."/>
      <w:lvlJc w:val="left"/>
      <w:pPr>
        <w:ind w:left="720" w:hanging="360"/>
      </w:pPr>
      <w:rPr>
        <w:rFonts w:ascii="Arial" w:eastAsia="Arial" w:hAnsi="Arial" w:cs="Arial"/>
        <w:color w:val="2D3B4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3C42A3B"/>
    <w:multiLevelType w:val="multilevel"/>
    <w:tmpl w:val="8320D4B2"/>
    <w:lvl w:ilvl="0">
      <w:start w:val="2"/>
      <w:numFmt w:val="decimal"/>
      <w:lvlText w:val="%1."/>
      <w:lvlJc w:val="left"/>
      <w:pPr>
        <w:ind w:left="720" w:hanging="360"/>
      </w:pPr>
      <w:rPr>
        <w:rFonts w:ascii="Arial" w:eastAsia="Arial" w:hAnsi="Arial" w:cs="Arial"/>
        <w:color w:val="2D3B4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6C3"/>
    <w:rsid w:val="00A26760"/>
    <w:rsid w:val="00E82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9CFA977A-FA15-D44F-9D5A-C2739EF31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1925</Words>
  <Characters>10973</Characters>
  <Application>Microsoft Office Word</Application>
  <DocSecurity>0</DocSecurity>
  <Lines>91</Lines>
  <Paragraphs>25</Paragraphs>
  <ScaleCrop>false</ScaleCrop>
  <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KOBE MCCLOUD</cp:lastModifiedBy>
  <cp:revision>2</cp:revision>
  <dcterms:created xsi:type="dcterms:W3CDTF">2020-04-06T22:15:00Z</dcterms:created>
  <dcterms:modified xsi:type="dcterms:W3CDTF">2020-04-06T22:15:00Z</dcterms:modified>
</cp:coreProperties>
</file>